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E7AD4" w14:textId="77777777" w:rsidR="004B3A69" w:rsidRPr="00361602" w:rsidRDefault="004B3A69" w:rsidP="004B3A69">
      <w:pPr>
        <w:spacing w:line="276" w:lineRule="auto"/>
        <w:jc w:val="center"/>
        <w:rPr>
          <w:rFonts w:ascii="Times New Roman" w:eastAsia="Calibri" w:hAnsi="Times New Roman" w:cs="Times New Roman"/>
          <w:b/>
          <w:bCs/>
          <w:sz w:val="22"/>
          <w:szCs w:val="22"/>
          <w:lang w:val="hr-HR" w:eastAsia="en-US"/>
        </w:rPr>
      </w:pPr>
      <w:r w:rsidRPr="00361602">
        <w:rPr>
          <w:rFonts w:ascii="Times New Roman" w:eastAsia="Calibri" w:hAnsi="Times New Roman" w:cs="Times New Roman"/>
          <w:b/>
          <w:bCs/>
          <w:sz w:val="22"/>
          <w:szCs w:val="22"/>
          <w:lang w:val="hr-HR" w:eastAsia="en-US"/>
        </w:rPr>
        <w:t>OBRAZLOŽENJE III. IZMJENA I DOPUNA PRORAČUNA</w:t>
      </w:r>
    </w:p>
    <w:p w14:paraId="254B00E4" w14:textId="77777777" w:rsidR="004B3A69" w:rsidRPr="00361602" w:rsidRDefault="004B3A69" w:rsidP="004B3A69">
      <w:pPr>
        <w:spacing w:line="276" w:lineRule="auto"/>
        <w:jc w:val="center"/>
        <w:rPr>
          <w:rFonts w:ascii="Times New Roman" w:eastAsia="Calibri" w:hAnsi="Times New Roman" w:cs="Times New Roman"/>
          <w:b/>
          <w:bCs/>
          <w:sz w:val="22"/>
          <w:szCs w:val="22"/>
          <w:lang w:val="hr-HR" w:eastAsia="en-US"/>
        </w:rPr>
      </w:pPr>
      <w:r w:rsidRPr="00361602">
        <w:rPr>
          <w:rFonts w:ascii="Times New Roman" w:eastAsia="Calibri" w:hAnsi="Times New Roman" w:cs="Times New Roman"/>
          <w:b/>
          <w:bCs/>
          <w:sz w:val="22"/>
          <w:szCs w:val="22"/>
          <w:lang w:val="hr-HR" w:eastAsia="en-US"/>
        </w:rPr>
        <w:t>OPĆINE BOROVO ZA 2026. godinu</w:t>
      </w:r>
    </w:p>
    <w:p w14:paraId="496DF7A1" w14:textId="77777777" w:rsidR="004B3A69" w:rsidRPr="00361602" w:rsidRDefault="004B3A69" w:rsidP="004B3A69">
      <w:pPr>
        <w:spacing w:line="276" w:lineRule="auto"/>
        <w:jc w:val="center"/>
        <w:rPr>
          <w:rFonts w:ascii="Times New Roman" w:eastAsia="Calibri" w:hAnsi="Times New Roman" w:cs="Times New Roman"/>
          <w:b/>
          <w:bCs/>
          <w:sz w:val="22"/>
          <w:szCs w:val="22"/>
          <w:lang w:val="hr-HR" w:eastAsia="en-US"/>
        </w:rPr>
      </w:pPr>
      <w:r w:rsidRPr="00361602">
        <w:rPr>
          <w:rFonts w:ascii="Times New Roman" w:eastAsia="Calibri" w:hAnsi="Times New Roman" w:cs="Times New Roman"/>
          <w:b/>
          <w:bCs/>
          <w:sz w:val="22"/>
          <w:szCs w:val="22"/>
          <w:lang w:val="hr-HR" w:eastAsia="en-US"/>
        </w:rPr>
        <w:t>OPĆI DIO</w:t>
      </w:r>
    </w:p>
    <w:p w14:paraId="1AC1BC4C"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p>
    <w:p w14:paraId="15617D2A"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PRIHODI I PRIMICI PRORAČUNA PO EKONOMSKOJ KLASIFIKACIJI</w:t>
      </w:r>
    </w:p>
    <w:p w14:paraId="580B67A8"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p>
    <w:p w14:paraId="48948919"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U III. Izmjenama i dopunama Proračuna Općine Borovo za 2026.g. predlažu se ukupni prihodi u iznosu od 6.362.000,00 eura, a odnose se na prihode poslovanja (6.304.000,00 eura), prihode od prodaje nefinancijske imovine (58.000,00 eura).</w:t>
      </w:r>
    </w:p>
    <w:p w14:paraId="055C6199"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p>
    <w:p w14:paraId="4418D212"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p>
    <w:p w14:paraId="073FCBD1"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Prihode poslovanja čine:</w:t>
      </w:r>
    </w:p>
    <w:p w14:paraId="357ACB25"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Prihodi od poreza</w:t>
      </w:r>
    </w:p>
    <w:p w14:paraId="42D02973"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Pomoći iz inozemstva i od subjekata unutar općeg proračuna</w:t>
      </w:r>
    </w:p>
    <w:p w14:paraId="46D306E8"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Prihodi od imovine</w:t>
      </w:r>
    </w:p>
    <w:p w14:paraId="28BCBBDD"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Prihodi od upravnih i administrativnih pristojbi, pristojbi po posebnim propisima i naknada,</w:t>
      </w:r>
    </w:p>
    <w:p w14:paraId="6B7FCEFF"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Prihodi od prodaje proizvoda i robe te pruženih usluga, prihodi od donacija te povrati po protestiranim      jamstvima,</w:t>
      </w:r>
    </w:p>
    <w:p w14:paraId="2134F1F1"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Kazne, upravne mjere i ostali prihodi.</w:t>
      </w:r>
    </w:p>
    <w:p w14:paraId="07327436"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p>
    <w:p w14:paraId="35A0DDEF"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Prihodi od poreza (skupina 61) planirani su u iznosu od 1.173.600,00 eura, a odnose se na prihode od poreza (porez na dohodak, porezi na imovinu i porezi na robu i usluge.).</w:t>
      </w:r>
    </w:p>
    <w:p w14:paraId="776EFB01"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Prihodi od pomoći iz inozemstva  i od subjekata unutar općeg proračuna (skupina 63) planirani su u iznosu od 3.862.200,00 eura.  U planiranom iznosu prihoda od pomoći sadržana su i sredstva fiskalnog izravnanja (1.664.600,00 eura) koja je potrebno planirati kao tekuće pomoći iz državnog proračuna obzirom na izvor isplate istih, a sukladno odredbama Zakona o  financiranju jedinica lokalne i područne (regionalne) samouprave su nenamjenska. Osim sredstava fiskalnog izravnanja u ovoj skupini prihoda planirane su i pomoći od međunarodnih i organizacija te institucija i tijela EU u iznosu od 1.080.000,00 eura. Kapitalne pomoći iz državnog proračuna planirane su u iznosu od 405.800,00 eura, dok su kapitalne pomoći iz  županijskog proračuna planirane u iznosu od 60.000,00 eura. Pomoći od izvanproračunskih korisnika su planirane u iznosu od 20.000,00 eura. Za provedbu projekta „POMOĆ U KUĆI STARIJIM I NEMOĆNIM OSOBAMA faza IV“ planirana su sredstva u iznosu od 600.000,00. Proračunski korisnik - DJEČJI VRTIĆ „ZLATOKOSA“ BOROVO planira pomoći iz inozemstva i od subjekata unutar općeg proračuna u iznosu od 31.800,00 eura. </w:t>
      </w:r>
    </w:p>
    <w:p w14:paraId="77A045C1"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Prihodi od imovine (skupina 64) planirani su u iznosu od 106.500,00 eura. U ovoj skupini prihoda planirane su naknade za koncesije, prihodi od zakupa poljoprivrednog zemljišta, zakupa poslovnog prostora, zakupa javnog zemljišta, naknade za pravo služnosti, naknade za zadržavanje nezakonito izgrađene zgrade u prostoru, prihod od spomeničkih renti te pasivnih kamata. </w:t>
      </w:r>
    </w:p>
    <w:p w14:paraId="5AA0E8A2"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Prihodi od upravnih i administrativnih pristojbi, pristojbi po posebnim propisima i naknada (skupina 65)  su planirani u iznosu od 195.200,00 eura, a podrazumijevaju prihode od vodnog gospodarstva, šumskog i komunalnog doprinosa, komunalne naknade te ostalih nespomenutih prihoda. Pod ovom skupinom su i planirani prihodi Proračunskog korisnika - DJEČJI VRTIĆ „ZLATOKOSA“ BOROVO od uplata roditelja za boravak djece u vrtiću.</w:t>
      </w:r>
    </w:p>
    <w:p w14:paraId="6A0981DD"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Prihodi od prodaje proizvoda i robe te pruženih usluga, prihodi od donacija te povrati po protestiranim jamstvima (skupina 66) su planirani u iznosu od 962.500,00 eura, a odnose se na kapitalne  donacije od neprofitnih organizacija i to Zajedničkog vijeća općina i Srpskog Narodnog Vijeća, kao i tekuće donacije od Lokalne akcijske grupe u ribarstvu i akvakulturi FLAG Dunav Sava.</w:t>
      </w:r>
    </w:p>
    <w:p w14:paraId="09C7F486"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lastRenderedPageBreak/>
        <w:t>Prihodi od kazni, upravnih mjera i ostali prihodi (skupina 68) planirani su u iznosu od 4.000,00 eura, a odnose se na ostale nespomenute kazne.</w:t>
      </w:r>
    </w:p>
    <w:p w14:paraId="56FC681C"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Prihodi od prodaje nefinancijske imovine se odnose  na prihode od prodaje neproizvedene dugotrajne imovine planirani u iznosu od 8.000,00 eura i prihode od prodaje proizvedene dugotrajne imovine planirane u iznosu od 50.000,00 eura.</w:t>
      </w:r>
    </w:p>
    <w:p w14:paraId="2C32D330"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34DCAA2F"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RASHODI I IZDACI PRORAČUNA PO EKONOMSKOJ KLASIFIKACIJI</w:t>
      </w:r>
    </w:p>
    <w:p w14:paraId="1079AD6F"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26FF456E"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U III. Izmjenama i dopunama Proračuna Općine Borovo za 2026.g. predlažu se ukupni rashodi u iznosu od 5.862.000,00 eura, a odnose se na rashode poslovanja (3.143.100,00 eura) i rashode za nabavu nefinancijske imovine (2.718.900,00 eura).</w:t>
      </w:r>
    </w:p>
    <w:p w14:paraId="2A175917"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Rashode poslovanja čine:</w:t>
      </w:r>
    </w:p>
    <w:p w14:paraId="5CC18FCF"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Rashodi za zaposlene,</w:t>
      </w:r>
    </w:p>
    <w:p w14:paraId="08B6EAD8"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Materijalni rashodi,</w:t>
      </w:r>
    </w:p>
    <w:p w14:paraId="6C5C107F"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Financijski rashodi,</w:t>
      </w:r>
    </w:p>
    <w:p w14:paraId="22F1C289"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Subvencije,</w:t>
      </w:r>
    </w:p>
    <w:p w14:paraId="2FC0D8EA"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Pomoći dane u inozemstvo i unutar općeg proračuna,</w:t>
      </w:r>
    </w:p>
    <w:p w14:paraId="144E4601"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Naknade građanima i kućanstvima na temelju osiguranja i druge naknade,</w:t>
      </w:r>
    </w:p>
    <w:p w14:paraId="19E0424C"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Rashodi za donacije, kazne, naknade štete i kapitalne pomoći.</w:t>
      </w:r>
    </w:p>
    <w:p w14:paraId="4B5C1E59" w14:textId="77777777" w:rsidR="004B3A69" w:rsidRPr="00361602" w:rsidRDefault="004B3A69" w:rsidP="004B3A69">
      <w:pPr>
        <w:spacing w:line="276" w:lineRule="auto"/>
        <w:rPr>
          <w:rFonts w:ascii="Times New Roman" w:eastAsia="Calibri" w:hAnsi="Times New Roman" w:cs="Times New Roman"/>
          <w:color w:val="FF0000"/>
          <w:sz w:val="22"/>
          <w:szCs w:val="22"/>
          <w:lang w:val="hr-HR" w:eastAsia="en-US"/>
        </w:rPr>
      </w:pPr>
    </w:p>
    <w:p w14:paraId="280513C6"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Rashode za zaposlene čine bruto plaće dužnosnika  i službenika Općine Borovo te zaposlenika na projektu „POMOĆ U KUĆI STARIJIM I NEMOĆNIM OSOBAMA – faza IV“, a isti su planirani u iznosu 1.000.300,00 eura. Osim bruto plaća u ovoj skupini rashoda evidentirani su i doprinosi na plaće kao i svi ostali rashodi vezani za zaposlene. </w:t>
      </w:r>
    </w:p>
    <w:p w14:paraId="65D46BCB"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Materijalni rashodi su planirani u iznosu od 1.073.300,00 eura, a podrazumijevaju različite naknade troškova zaposlenima (dnevnice za službena putovanja, troškove prijevoza, troškove seminara, tečajeva i sl.), rashode za materijal i energiju (uredski materijal, literatura, troškove električne energije svih objekata u vlasništvu Općine, materijal i dijelove za tekuća i investicijska održavanja, sitan inventar), rashode za usluge (usluge telefona, poštarina, internet, tekuće i investicijsko održavanje, komunalne usluge, autorski honorari i ugovori o djelu, usluge odvjetnika i pravnog savjetovanja, geodetsko-katastarske usluge, intelektualne i ostale usluge) i ostali nespomenuti rashodi poslovanja (naknade za rad članova predstavničkog tijela, osiguranja zaposlenika, vozila, imovine, reprezentacija i ostali rashodi). </w:t>
      </w:r>
    </w:p>
    <w:p w14:paraId="213834EC"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Financijski rashodi su planirani u iznosu od 21.300,00 eura, a podrazumijevaju kamate na primljene kredite od kreditnih institucija u javnom sektoru, usluge banaka, platnog prometa te ostale nespomenute financijske rashode. </w:t>
      </w:r>
    </w:p>
    <w:p w14:paraId="045303FA"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Subvencije su planirane u iznosu od 201.200,00 eura, a odnose se na subvencije trgovačkim društvima, poljoprivrednicima i obrtnicima sa područja Općine Borovo.</w:t>
      </w:r>
    </w:p>
    <w:p w14:paraId="7FCC30CF"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Pomoći dane u inozemstvo i unutar opće države su planirane u iznosu od 13.000,00 eura,  a odnose se na pomoći isplaćene drugim proračunima ili proračunskim korisnicima drugih proračuna.</w:t>
      </w:r>
    </w:p>
    <w:p w14:paraId="57796EBB"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Naknade građanima i kućanstvima na temelju osiguranja i druge naknade planirane su u iznosu od 240.000,00 eura, a podrazumijevaju različite pomoći obiteljima i kućanstvima (jednokratne novčane pomoći, naknade za novorođenčad, jednokratne pomoći za kupovinu kuće, stipendije studentima, naknade roditeljima djece đaka prvaka, božićnice umirovljenicima, sufinanciranje cijene prijevoza te ostale naknade u naravi kao paketići, školski pribor, škola u prirodi trećih razreda i ekskurzija osmih razreda Osnovne škole Borovo</w:t>
      </w:r>
    </w:p>
    <w:p w14:paraId="6899EDBF"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lastRenderedPageBreak/>
        <w:t>Rashodi za donacije, kazne, naknade štete i kapitalne pomoći  su planirani u iznosu od 494.000,00 eura, a uključuju tekuće donacije nacionalnim zajednicama i manjinama, udrugama i političkim strankama, sportskim društvima, humanitarnim organizacijama i kapitalne donacije vjerskim zajednicama..</w:t>
      </w:r>
    </w:p>
    <w:p w14:paraId="7442B537"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Rashode za nabavu nefinancijske imovine čine:</w:t>
      </w:r>
    </w:p>
    <w:p w14:paraId="3E2EF059"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Rashodi za nabavu neproizvedene dugotrajne imovine,</w:t>
      </w:r>
    </w:p>
    <w:p w14:paraId="29C7596E"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Rashodi za nabavu proizvedene dugotrajne imovine i</w:t>
      </w:r>
    </w:p>
    <w:p w14:paraId="5FBE954B"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Rashodi za dodatna ulaganja na nefinancijskoj imovini.</w:t>
      </w:r>
    </w:p>
    <w:p w14:paraId="2D725143" w14:textId="77777777" w:rsidR="004B3A69" w:rsidRPr="00361602" w:rsidRDefault="004B3A69" w:rsidP="004B3A69">
      <w:pPr>
        <w:spacing w:line="276" w:lineRule="auto"/>
        <w:rPr>
          <w:rFonts w:ascii="Times New Roman" w:eastAsia="Calibri" w:hAnsi="Times New Roman" w:cs="Times New Roman"/>
          <w:color w:val="FF0000"/>
          <w:sz w:val="22"/>
          <w:szCs w:val="22"/>
          <w:lang w:val="hr-HR" w:eastAsia="en-US"/>
        </w:rPr>
      </w:pPr>
    </w:p>
    <w:p w14:paraId="15A44A37"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Rashodi za nabavu neproizvedene dugotrajne imovine su planirani u iznosu od 45.000,00 eura,  za kupovinu građevinskog zemljišta.</w:t>
      </w:r>
    </w:p>
    <w:p w14:paraId="5ABFCF69"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Rashodi za nabavu proizvedene dugotrajne imovine su planirani u iznosu od 975.300,00 eura i to za završetak zgrade NK Sloga, izgradnja ceste prema poduzetničkoj zoni, izgradnja ceste  Glavna ulica br. 75-79, izgradnja parkinga kod groblja, izgradnja parkinga u ulici Branka Radičevića, izgradnja parkinga u Glavnoj ulici br. 42-46 (etno kuća), završetak parkinga u Glavnoj ulici 4-20 (centar), kanalizaciju i sanaciju vodovodne mreže, kanale-kanalska mreža, spomenike, starački dom, šetnicu uz Dunav, nabavku računala i računalne opreme, uredskog namještaja, klima uređaja, video nadzora, sportske opreme za opremanja teretane  NK Sloga, opreme za ostale namjene, kupovina službenog automobila, ulaganje u računalne programe te dokumente prostornog uređenja. </w:t>
      </w:r>
    </w:p>
    <w:p w14:paraId="0B84C82A"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Rashodi za dodatna ulaganja na nefinancijskoj imovini su planirani u iznosu od 1.698.600,00 eura, a odnose se na uređenje općinske zgrade, sanaciju dvorišta dječjeg vrtića, sanaciju etno kuće, sanaciju igrališta na Savulji, igrališta-Bulićeva, igrališta-Gajićeva – uređenje i cikloodmorište, sanaciju cesta Ratarska,  Božidara Maslarića, Đorđa Sremca, Trg palih boraca, sanacija javne rasvjete u ulicama Veselina Stojakovića, Glavna, Školska, Ozrenska i produžetak ulice uz prugu, uređenje šetališne zone, sanacija staza u ulicama Bulićeva I dio, Partizanska i Gajićeva I dio, dodatno ulaganje u višenamjensku salu. </w:t>
      </w:r>
    </w:p>
    <w:p w14:paraId="7FFF9EA3"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0C75D9F0" w14:textId="77777777" w:rsidR="004B3A69" w:rsidRPr="00361602" w:rsidRDefault="004B3A69" w:rsidP="004B3A69">
      <w:pPr>
        <w:spacing w:line="276" w:lineRule="auto"/>
        <w:jc w:val="center"/>
        <w:rPr>
          <w:rFonts w:ascii="Times New Roman" w:eastAsia="Calibri" w:hAnsi="Times New Roman" w:cs="Times New Roman"/>
          <w:b/>
          <w:bCs/>
          <w:sz w:val="22"/>
          <w:szCs w:val="22"/>
          <w:lang w:val="hr-HR" w:eastAsia="en-US"/>
        </w:rPr>
      </w:pPr>
      <w:r w:rsidRPr="00361602">
        <w:rPr>
          <w:rFonts w:ascii="Times New Roman" w:eastAsia="Calibri" w:hAnsi="Times New Roman" w:cs="Times New Roman"/>
          <w:b/>
          <w:bCs/>
          <w:sz w:val="22"/>
          <w:szCs w:val="22"/>
          <w:lang w:val="hr-HR" w:eastAsia="en-US"/>
        </w:rPr>
        <w:t>POSEBNI DIO</w:t>
      </w:r>
    </w:p>
    <w:p w14:paraId="20369672"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6936471D"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Obrazloženje posebnog dijela proračuna Općine Borovo temelji se na obrazloženjima financijskih planova proračunskih korisnika, a sastoji se od obrazloženja programa koji su dani kroz obrazloženje aktivnosti i projekata zajedno s ciljevima i pokazateljima uspješnosti iz akata strateškog planiranja. </w:t>
      </w:r>
    </w:p>
    <w:p w14:paraId="62530A1C" w14:textId="77777777" w:rsidR="004B3A69" w:rsidRPr="00361602" w:rsidRDefault="004B3A69" w:rsidP="004B3A69">
      <w:pPr>
        <w:spacing w:line="276" w:lineRule="auto"/>
        <w:jc w:val="both"/>
        <w:rPr>
          <w:rFonts w:ascii="Times New Roman" w:eastAsia="Calibri" w:hAnsi="Times New Roman" w:cs="Times New Roman"/>
          <w:color w:val="FF0000"/>
          <w:sz w:val="22"/>
          <w:szCs w:val="22"/>
          <w:lang w:val="hr-HR" w:eastAsia="en-US"/>
        </w:rPr>
      </w:pPr>
    </w:p>
    <w:p w14:paraId="26B7C790"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PROGRAM: 1001 Upravljanje javnim financijama</w:t>
      </w:r>
    </w:p>
    <w:p w14:paraId="736FAEA9"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Planiran je u iznosu 1.017.900,00 EUR, a sadrži slijedeće aktivnosti:</w:t>
      </w:r>
    </w:p>
    <w:p w14:paraId="1E8C70F3"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A100101 Administrativno, tehničko i stručno osoblje, planirana u iznosu 1.017.900,00 EUR.</w:t>
      </w:r>
    </w:p>
    <w:p w14:paraId="0CD5CEF5"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Unutar ovog programa planirani su rashodi u ukupni iznosu od 1.017.900,00 eura, a odnose se na aktivnosti administrativnog, tehničkog i stručnog osoblja.</w:t>
      </w:r>
    </w:p>
    <w:p w14:paraId="017134B8"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Ova planirana sredstva odnose se na plaće zaposlenika i ostale rashode neophodne za njihov rad, nabavu uredskog materijala, usluge tekućeg i investicijskog održavanje zgrada i opreme, računalne usluge, premije osiguranja, troškovi telefona i poštarina, usluge promidžbe i informiranja, zakupnine i najamnine, rashode za energiju, usluge banaka,  platnog prometa, te na otplatu glavnice primljenog kredita od kreditne institucije u javnom sektoru. </w:t>
      </w:r>
    </w:p>
    <w:p w14:paraId="6F0034A8"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Opći cilj: Izvršavanje poslova iz djelokruga rada, priprema i objava svih akata, provođenje donesenih odluka, praćenje njihovog izvršenja, poslovi nabave potrebni za funkcioniranje Jedinstvenog upravnog djela, otplata glavnice primljenog kredita.</w:t>
      </w:r>
    </w:p>
    <w:p w14:paraId="75F10B9D"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Posebni cilj: kvalitetno i odgovorno vođenje poslova u svrhu koju je Jedinstveni upravni odjel osnovan, transparentan rad, informacije dostupne građanima i svakodnevni rad sa strankama i građanima općine.</w:t>
      </w:r>
    </w:p>
    <w:p w14:paraId="3B5771B5"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lastRenderedPageBreak/>
        <w:t>Pokazatelji uspješnosti: usklađivanja općih akata sa zakonom i aktualnom zakonskom regulativom, redovno održavanje sjednica općinskog vijeća, priprema materijala za sjednice, njihova objava, praćenje aktivnosti korisnika koji se financiraju iz proračuna općine, otplaćena glavnica kredita.</w:t>
      </w:r>
    </w:p>
    <w:p w14:paraId="24B20758"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5CD08599"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PROGRAM: 1002 Gospodarstvo i komunalna djelatnost</w:t>
      </w:r>
    </w:p>
    <w:p w14:paraId="46A21520"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Planiran je u iznosu 536.500,00 EUR, a sadrži slijedeće aktivnosti:</w:t>
      </w:r>
    </w:p>
    <w:p w14:paraId="53113E99"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A100201 Javna rasvjeta, planirana u iznosu 54.500,00 EUR.</w:t>
      </w:r>
    </w:p>
    <w:p w14:paraId="579B427B"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A100202 Deratizacija i dezinsekcija, planirana u iznosu 52.000,00 EUR.</w:t>
      </w:r>
    </w:p>
    <w:p w14:paraId="7A524CC9"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A100203 Dimnjačarske i ekološke usluge, planirana u iznosu 500,00 EUR.</w:t>
      </w:r>
    </w:p>
    <w:p w14:paraId="4258AEA2"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A100204 Održavanje komunalne infrastrukture, planirana u iznosu 397.000,00 EUR.</w:t>
      </w:r>
    </w:p>
    <w:p w14:paraId="5F30612E"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A100205 Naknade - komunalni otpad, planirana u iznosu 28.500,00 EUR.</w:t>
      </w:r>
    </w:p>
    <w:p w14:paraId="5E0D03DE"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A100206 Veterinarske usluge, planirana u iznosu 4.000,00 EUR.</w:t>
      </w:r>
    </w:p>
    <w:p w14:paraId="345A338A"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p>
    <w:p w14:paraId="03781173"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Opći cilj: poboljšanje komunalne infrastrukture tekućim i investicijskim održavanjem, održavanje javne rasvjete na području Općine tokom cijele godine u cilju što kvalitetnijeg načina života za naše građane, dimnjačarske usluge.</w:t>
      </w:r>
    </w:p>
    <w:p w14:paraId="304213DD"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Posebni cilj: redovno održavanje javnih površina, sanacija poljskih puteva, ozelenjavanje javnih površina, uređenje kanalske mreže, provođenje propisanih mjera DDDa-a na području općine, i sve to u cilju povećanja standarda kvalitete života u našoj Općini.</w:t>
      </w:r>
    </w:p>
    <w:p w14:paraId="7200C9C4"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Pokazatelj uspješnosti: uređene javne površine, sanirani poljski putevi, broj zamijenjenih žarulja javne rasvjete.</w:t>
      </w:r>
    </w:p>
    <w:p w14:paraId="23496528"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51BA7A3C"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PROGRAM: 1003 Priprema i donošenje akata</w:t>
      </w:r>
    </w:p>
    <w:p w14:paraId="79F02D4E"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Planiran je u iznosu 25.000,00 EUR, a sadrži slijedeće aktivnosti:</w:t>
      </w:r>
    </w:p>
    <w:p w14:paraId="0E06FD8E"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A100301 Predstavnička i izvršna tijela, planirana u iznosu 25.000,00 EUR.</w:t>
      </w:r>
    </w:p>
    <w:p w14:paraId="3D39D992"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Opći cilj: osigurati građanima potrebne informacije kroz predstavnike koje na izborima biraju u predstavničko tijelo. Donošenje kvalitetnih odluka i zaključaka na sjednicama vijeća s ciljem poboljšanja života na području Općine. </w:t>
      </w:r>
    </w:p>
    <w:p w14:paraId="6F5C9D96"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Pokazatelji uspješnosti: broj uspješno održanih sjednica koje su u skladu sa zakonskim odredbama, broj donesenih akata i odluka, broj održanih sjednica te broj vijesti objavljenih na web stranici i drugim medijima.</w:t>
      </w:r>
    </w:p>
    <w:p w14:paraId="4F1684BE"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2DEF539A"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PROGRAM: 1004 Poticanje razvoja trgovačkih društava i poljoprivrede</w:t>
      </w:r>
    </w:p>
    <w:p w14:paraId="516707F9"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Planiran je u iznosu 216.200,00 EUR, a sadrži slijedeće aktivnosti:</w:t>
      </w:r>
    </w:p>
    <w:p w14:paraId="78A9AACE"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A100401 Subvencije poljoprivrednicima i trgovačkim društvima, planirana u iznosu 201.200,00 EUR.</w:t>
      </w:r>
    </w:p>
    <w:p w14:paraId="200A8864"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A100402 Tuzemne članarine, planirana u iznosu 5.000,00 EUR.</w:t>
      </w:r>
    </w:p>
    <w:p w14:paraId="4F1F1901"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A100403 Naknade za štetu, planirana u iznosu 10.000,00 EUR.</w:t>
      </w:r>
    </w:p>
    <w:p w14:paraId="770F096F"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16E9F1DF"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Opći cilj: poticanje razvoja poljoprivrede, obrtnika i rad trgovačkih društava</w:t>
      </w:r>
    </w:p>
    <w:p w14:paraId="27F0A5F2"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Pokazatelji uspješnosti: uplate subvencija poljoprivrednicima, obrtnicima i trgovačkom društvu, plaćanje članarine Lag Srijemu i FLAG Dunav Sava, isplata naknada u slučaju prirodnih katastrofa.</w:t>
      </w:r>
    </w:p>
    <w:p w14:paraId="561AF5A7"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634EDF1C"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PROGRAM: 1005 Djelatnost socijalne skrbi</w:t>
      </w:r>
    </w:p>
    <w:p w14:paraId="63D20E09"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Planiran je u iznosu 253.000,00 EUR, a sadrži slijedeće aktivnosti:</w:t>
      </w:r>
    </w:p>
    <w:p w14:paraId="0C715972"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A100501 Pomoć građanima i kućanstvima, planirana u iznosu 253.000,00 EUR.</w:t>
      </w:r>
    </w:p>
    <w:p w14:paraId="73812CA6"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Kapitalna pomoć – škola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10.000,00 eura</w:t>
      </w:r>
    </w:p>
    <w:p w14:paraId="3D9ACC06"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lastRenderedPageBreak/>
        <w:t>Tekuće pomoći županijskim proračunima – ugovori sa VSŽ</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3.000,00 eura</w:t>
      </w:r>
    </w:p>
    <w:p w14:paraId="7691D56C"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Jednokratne pomoći</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20.000,00 eura</w:t>
      </w:r>
    </w:p>
    <w:p w14:paraId="53B588DE"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Naknada za novorođenče</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25.000,00 eura</w:t>
      </w:r>
    </w:p>
    <w:p w14:paraId="76509791"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Kupovina kuće</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20.000,00 eura</w:t>
      </w:r>
    </w:p>
    <w:p w14:paraId="0CD39D99"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Stipendija i školarina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sidRPr="00361602">
        <w:rPr>
          <w:rFonts w:ascii="Times New Roman" w:eastAsia="Calibri" w:hAnsi="Times New Roman" w:cs="Times New Roman"/>
          <w:sz w:val="22"/>
          <w:szCs w:val="22"/>
          <w:lang w:val="hr-HR" w:eastAsia="en-US"/>
        </w:rPr>
        <w:tab/>
        <w:t xml:space="preserve">             </w:t>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ab/>
        <w:t xml:space="preserve"> </w:t>
      </w:r>
      <w:r w:rsidRPr="00361602">
        <w:rPr>
          <w:rFonts w:ascii="Times New Roman" w:eastAsia="Calibri" w:hAnsi="Times New Roman" w:cs="Times New Roman"/>
          <w:sz w:val="22"/>
          <w:szCs w:val="22"/>
          <w:lang w:val="hr-HR" w:eastAsia="en-US"/>
        </w:rPr>
        <w:t>10.000,00 eura</w:t>
      </w:r>
    </w:p>
    <w:p w14:paraId="2D51BD3E"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Ostale naknade u novcu (subvencije 1. razred, radne bilježnice)</w:t>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10.000,00 eura</w:t>
      </w:r>
    </w:p>
    <w:p w14:paraId="33D5B204"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Ostale naknade u novcu (božićnice za umirovljenike)</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75.000,00 eura</w:t>
      </w:r>
    </w:p>
    <w:p w14:paraId="281B09AA"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Ostale naknade u naravi (novog. paketići i nabavka školskog pribora,</w:t>
      </w:r>
    </w:p>
    <w:p w14:paraId="304E79CD"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škola u priroda i ekskurzija 8. razreda)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 xml:space="preserve"> 45.000,00 eura</w:t>
      </w:r>
    </w:p>
    <w:p w14:paraId="4DA38C68"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Sufinanciranje cijene prijevoza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 xml:space="preserve">  35.000,00 eura</w:t>
      </w:r>
    </w:p>
    <w:p w14:paraId="164E50F1"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p>
    <w:p w14:paraId="5583FB40"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Opći cilj: Pomoć socijalno ugroženom stanovništvu, pomoć mladim obiteljima sa području općine, naknade za novorođeno dijete, stipendiranje uspješnih studenata sa područja Općine, financiranje odlaska djece u škole u prirodi kao i ekskurziju 8. razreda, isplata  božićnice umirovljenicima, sufinanciranje prijevoza učenika i dr.</w:t>
      </w:r>
    </w:p>
    <w:p w14:paraId="434AADF3"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Specifični cilj: zadovoljiti svaki vid socijalne pomoć na osnovu donesenih kriterija na osnovu odluke, u cilju povećanja osnovnih životnih uvjeta socijalno ugroženih obitelji i domaćinstva.</w:t>
      </w:r>
    </w:p>
    <w:p w14:paraId="23002C1B"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Pokazatelji uspješnosti: broj realiziranih zahtjeva upućenih prema Općini, broj stipendiranih studenata.</w:t>
      </w:r>
    </w:p>
    <w:p w14:paraId="58A8BFB4"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p>
    <w:p w14:paraId="5CCF498F"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PROGRAM: 1006 Javne potrebe u kulturi, sportu i društvene djelatnosti</w:t>
      </w:r>
    </w:p>
    <w:p w14:paraId="1745E5BE"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Planiran je u iznosu 424.000,00 EUR, a sadrži slijedeće aktivnosti:</w:t>
      </w:r>
    </w:p>
    <w:p w14:paraId="6F8B67FD"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A100601 Donacije za društvene djelatnosti, planirana u iznosu 374.000,00 EUR.</w:t>
      </w:r>
    </w:p>
    <w:p w14:paraId="52213711"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KAPITALNI PROJEKT K100601 Kapitalne donacije za društvene djelatnosti, planiran u iznosu 50.000,00 EUR.</w:t>
      </w:r>
    </w:p>
    <w:p w14:paraId="5F4A5F37" w14:textId="77777777" w:rsidR="004B3A69" w:rsidRPr="00361602" w:rsidRDefault="004B3A69" w:rsidP="004B3A69">
      <w:pPr>
        <w:spacing w:line="276" w:lineRule="auto"/>
        <w:rPr>
          <w:rFonts w:ascii="Times New Roman" w:eastAsia="Calibri" w:hAnsi="Times New Roman" w:cs="Times New Roman"/>
          <w:color w:val="FF0000"/>
          <w:sz w:val="22"/>
          <w:szCs w:val="22"/>
          <w:lang w:val="hr-HR" w:eastAsia="en-US"/>
        </w:rPr>
      </w:pPr>
    </w:p>
    <w:p w14:paraId="4333AB3B"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Donacije za društvene djelatnosti</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374.000,00 eura</w:t>
      </w:r>
    </w:p>
    <w:p w14:paraId="303CBFA4"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 xml:space="preserve">Tekuće donacije udrugama </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80.000,00 eura</w:t>
      </w:r>
    </w:p>
    <w:p w14:paraId="2590BBD0"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Tekuće donacije političkim strankama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7.000,00 eura</w:t>
      </w:r>
    </w:p>
    <w:p w14:paraId="3C81EE1C"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Tekuće donacije sportskim udrugama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100.000,00 eura</w:t>
      </w:r>
    </w:p>
    <w:p w14:paraId="5F986FF4"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Crveni križ</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10.000,00 eura</w:t>
      </w:r>
    </w:p>
    <w:p w14:paraId="760BBDED"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Radio Borovo</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110.000,00 eura</w:t>
      </w:r>
    </w:p>
    <w:p w14:paraId="3B822894"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Projekt centar</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40.000,00 eura</w:t>
      </w:r>
    </w:p>
    <w:p w14:paraId="0B5B9CCC"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ZVO</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20.000,00 eura</w:t>
      </w:r>
    </w:p>
    <w:p w14:paraId="549AE838"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Civilna zaštita – u novcu</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sidRPr="00361602">
        <w:rPr>
          <w:rFonts w:ascii="Times New Roman" w:eastAsia="Calibri" w:hAnsi="Times New Roman" w:cs="Times New Roman"/>
          <w:sz w:val="22"/>
          <w:szCs w:val="22"/>
          <w:lang w:val="hr-HR" w:eastAsia="en-US"/>
        </w:rPr>
        <w:tab/>
        <w:t xml:space="preserve">                   3.000,00 eura</w:t>
      </w:r>
    </w:p>
    <w:p w14:paraId="55CB8954"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Civilna zaštita – u naravi</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3.000,00 eura</w:t>
      </w:r>
    </w:p>
    <w:p w14:paraId="7C604550"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Ostale tekuće donacije</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1.000,00 eura</w:t>
      </w:r>
    </w:p>
    <w:p w14:paraId="144FFA30"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5B3DBB1C"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Kapitalne donacije za društvene djelatnosti</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50.000,00 eura</w:t>
      </w:r>
    </w:p>
    <w:p w14:paraId="6A3FF96F"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Srpska pravoslavna crkva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50.000,00 eura</w:t>
      </w:r>
    </w:p>
    <w:p w14:paraId="3351167B"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48D82986"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Opći cilj: poticanje rada kulturnih udruga sa području Općine Borovo i susjednih mjesta, očuvanje i promoviranje kulturne baštine. Poticanje sporta i sportskih manifestacija, koje kroz natjecanja na domaćim i stranim turnirima predstavljaju i promoviraju Općinu. Provođenje mjera zaštite i sigurnost građana. Tekuće donacije usmjerene prema Crvenom križu, što je ujedno i zakonska obveza. Kapitalne donacije SPCO.</w:t>
      </w:r>
    </w:p>
    <w:p w14:paraId="27BDE667"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lastRenderedPageBreak/>
        <w:t>Specifični ciljevi: poticanje i očuvanje kulturne baštine, rad sa mještanima, posebno mladima putem udruga koje se bave kulturom, njegovanje tradicionalnih kulturnih obilježja, poticanje na zdrav način života, koje utječe na sve dobne skupine mještana, razvija natjecateljski duh, i promovira zdravlje.</w:t>
      </w:r>
    </w:p>
    <w:p w14:paraId="3B3CC666"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Pokazatelji uspješnosti: broj održanih kulturnih manifestacija, sudjelovanje na domaćim i međunarodnim manifestacijama koje pridonose promociji Općine, broj održanih natjecanja, broj ostvarenih planiranih programa i projekata, broj dodijeljenih nagrada i medalja. Opremljenost i spremnost civilne zaštite. Uređenje srpske pravoslavne crkve.</w:t>
      </w:r>
    </w:p>
    <w:p w14:paraId="25940DC0" w14:textId="77777777" w:rsidR="004B3A69" w:rsidRPr="00361602" w:rsidRDefault="004B3A69" w:rsidP="004B3A69">
      <w:pPr>
        <w:spacing w:line="276" w:lineRule="auto"/>
        <w:rPr>
          <w:rFonts w:ascii="Times New Roman" w:eastAsia="Calibri" w:hAnsi="Times New Roman" w:cs="Times New Roman"/>
          <w:color w:val="FF0000"/>
          <w:sz w:val="22"/>
          <w:szCs w:val="22"/>
          <w:lang w:val="hr-HR" w:eastAsia="en-US"/>
        </w:rPr>
      </w:pPr>
    </w:p>
    <w:p w14:paraId="3BE0384C"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PROGRAM: 1007 Zaštita od požara</w:t>
      </w:r>
    </w:p>
    <w:p w14:paraId="23DC8245"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Planiran je u iznosu 60.000,00 EUR, a sadrži slijedeće aktivnosti:</w:t>
      </w:r>
    </w:p>
    <w:p w14:paraId="5D7E4F8E"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A100701 Osnovna djelatnost DVD-a, planirana u iznosu 60.000,00 EUR.</w:t>
      </w:r>
    </w:p>
    <w:p w14:paraId="51BEE728"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Ovi rashodi odnose na redovno poslovanje DVD-a Borovo, nabavu osobne zaštitne opreme, održavanje opreme i vozila.</w:t>
      </w:r>
    </w:p>
    <w:p w14:paraId="23B6CAF1"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Opći cilj: provođenje protupožarne zaštite i sigurnost građana.</w:t>
      </w:r>
    </w:p>
    <w:p w14:paraId="3694381F"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Pokazatelji uspješnosti: opremljenost i spremnost vatrogasnog društva, broj intervencija, rad na preventivi, opremanje vatrogasaca osobnom zaštitnom opremom, opremanje postrojbe potrebnim vatrogasnim i ostalim tehničkim alatima, opremanje vatrogasne postrojbe, redovno održavanje vozila te prostora vatrogasnog doma.</w:t>
      </w:r>
    </w:p>
    <w:p w14:paraId="6F39DC6B" w14:textId="77777777" w:rsidR="004B3A69" w:rsidRPr="00361602" w:rsidRDefault="004B3A69" w:rsidP="004B3A69">
      <w:pPr>
        <w:spacing w:line="276" w:lineRule="auto"/>
        <w:rPr>
          <w:rFonts w:ascii="Times New Roman" w:eastAsia="Calibri" w:hAnsi="Times New Roman" w:cs="Times New Roman"/>
          <w:color w:val="FF0000"/>
          <w:sz w:val="22"/>
          <w:szCs w:val="22"/>
          <w:lang w:val="hr-HR" w:eastAsia="en-US"/>
        </w:rPr>
      </w:pPr>
    </w:p>
    <w:p w14:paraId="19C9E8F0"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PROGRAM: 1008 Nabava nefinancijske imovine</w:t>
      </w:r>
    </w:p>
    <w:p w14:paraId="71FA0099"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Planiran je u iznosu 2.716.600,00 EUR, a sadrži slijedeće aktivnosti:</w:t>
      </w:r>
    </w:p>
    <w:p w14:paraId="1EF5DD61"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KAPITALNI PROJEKT K100801 Izgradnja komunalne infrastrukture, planiran u iznosu 750.400,00 EUR.</w:t>
      </w:r>
    </w:p>
    <w:p w14:paraId="593A8603"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KAPITALNI PROJEKT K100802 Nabavka uredske opreme, namještaja, prijevoznih sredstava, strojeva i ostale opreme, planiran u iznosu 192.600,00 EUR.</w:t>
      </w:r>
    </w:p>
    <w:p w14:paraId="35340EA3"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KAPITALNI PROJEKT K100803 Dodatna ulaganja na građevinske objekte, planiran u iznosu 1.698.600,00 EUR.</w:t>
      </w:r>
    </w:p>
    <w:p w14:paraId="29224C1F"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KAPITALNI PROJEKT K100804 Tekuće i investicijsko održavanje građevinskih objekata, planiran u iznosu 75.000,00 EUR.</w:t>
      </w:r>
    </w:p>
    <w:p w14:paraId="23CF10FD" w14:textId="77777777" w:rsidR="004B3A69" w:rsidRPr="00361602" w:rsidRDefault="004B3A69" w:rsidP="004B3A69">
      <w:pPr>
        <w:spacing w:line="276" w:lineRule="auto"/>
        <w:jc w:val="both"/>
        <w:rPr>
          <w:rFonts w:ascii="Times New Roman" w:eastAsia="Calibri" w:hAnsi="Times New Roman" w:cs="Times New Roman"/>
          <w:color w:val="FF0000"/>
          <w:sz w:val="22"/>
          <w:szCs w:val="22"/>
          <w:lang w:val="hr-HR" w:eastAsia="en-US"/>
        </w:rPr>
      </w:pPr>
    </w:p>
    <w:p w14:paraId="59CB7793"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Izgradnja komunalne infrastrukture</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 xml:space="preserve"> 750.400,00 eura</w:t>
      </w:r>
    </w:p>
    <w:p w14:paraId="6DB72F0C"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Kupovina zemljišta za parking na groblju</w:t>
      </w:r>
      <w:r w:rsidRPr="00361602">
        <w:rPr>
          <w:rFonts w:ascii="Times New Roman" w:eastAsia="Calibri" w:hAnsi="Times New Roman" w:cs="Times New Roman"/>
          <w:sz w:val="22"/>
          <w:szCs w:val="22"/>
          <w:lang w:val="hr-HR" w:eastAsia="en-US"/>
        </w:rPr>
        <w:tab/>
        <w:t xml:space="preserve">           45.000,00 eura</w:t>
      </w:r>
    </w:p>
    <w:p w14:paraId="2794C7BC"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 xml:space="preserve">Ceste – poduzetnička zona              </w:t>
      </w:r>
      <w:r w:rsidRPr="00361602">
        <w:rPr>
          <w:rFonts w:ascii="Times New Roman" w:eastAsia="Calibri" w:hAnsi="Times New Roman" w:cs="Times New Roman"/>
          <w:sz w:val="22"/>
          <w:szCs w:val="22"/>
          <w:lang w:val="hr-HR" w:eastAsia="en-US"/>
        </w:rPr>
        <w:tab/>
        <w:t xml:space="preserve">          </w:t>
      </w:r>
      <w:r w:rsidRPr="00361602">
        <w:rPr>
          <w:rFonts w:ascii="Times New Roman" w:eastAsia="Calibri" w:hAnsi="Times New Roman" w:cs="Times New Roman"/>
          <w:sz w:val="22"/>
          <w:szCs w:val="22"/>
          <w:lang w:val="hr-HR" w:eastAsia="en-US"/>
        </w:rPr>
        <w:tab/>
        <w:t xml:space="preserve">           37.400,00 eura</w:t>
      </w:r>
    </w:p>
    <w:p w14:paraId="11BF5230"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Ceste – odvojak Glavna ulica br. 75-79</w:t>
      </w:r>
      <w:r w:rsidRPr="00361602">
        <w:rPr>
          <w:rFonts w:ascii="Times New Roman" w:eastAsia="Calibri" w:hAnsi="Times New Roman" w:cs="Times New Roman"/>
          <w:sz w:val="22"/>
          <w:szCs w:val="22"/>
          <w:lang w:val="hr-HR" w:eastAsia="en-US"/>
        </w:rPr>
        <w:tab/>
        <w:t xml:space="preserve">                        60.000,00 eura</w:t>
      </w:r>
    </w:p>
    <w:p w14:paraId="73C0BB93"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Zgrada NK Sloge</w:t>
      </w:r>
      <w:r w:rsidRPr="00361602">
        <w:rPr>
          <w:rFonts w:ascii="Times New Roman" w:eastAsia="Calibri" w:hAnsi="Times New Roman" w:cs="Times New Roman"/>
          <w:sz w:val="22"/>
          <w:szCs w:val="22"/>
          <w:lang w:val="hr-HR" w:eastAsia="en-US"/>
        </w:rPr>
        <w:tab/>
        <w:t xml:space="preserve">                                                  36.000,00 eura</w:t>
      </w:r>
    </w:p>
    <w:p w14:paraId="43E8E2D3"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Kanalizacija i sanacija vodovodne mreže</w:t>
      </w:r>
      <w:r w:rsidRPr="00361602">
        <w:rPr>
          <w:rFonts w:ascii="Times New Roman" w:eastAsia="Calibri" w:hAnsi="Times New Roman" w:cs="Times New Roman"/>
          <w:sz w:val="22"/>
          <w:szCs w:val="22"/>
          <w:lang w:val="hr-HR" w:eastAsia="en-US"/>
        </w:rPr>
        <w:tab/>
        <w:t xml:space="preserve">           15.000,00 eura</w:t>
      </w:r>
    </w:p>
    <w:p w14:paraId="58528C32"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Kanali – kanalska mreža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100.000,00 eura</w:t>
      </w:r>
    </w:p>
    <w:p w14:paraId="71D9484E"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 xml:space="preserve">Starački dom – projektna dokumentacija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50.000,00 eura</w:t>
      </w:r>
    </w:p>
    <w:p w14:paraId="37B7D8FD"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Šetnica uz Dunav</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80.000,00 eura</w:t>
      </w:r>
    </w:p>
    <w:p w14:paraId="230C371B"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Video nadzor</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50.000,00 eura</w:t>
      </w:r>
    </w:p>
    <w:p w14:paraId="26AACE71"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Dokumenti prostornog uređenja</w:t>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50.000,00 eura</w:t>
      </w:r>
    </w:p>
    <w:p w14:paraId="01BE9168"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Parking kod mjesnog groblja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50.000,00 eura</w:t>
      </w:r>
    </w:p>
    <w:p w14:paraId="06DCF9C8"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Parking – Branka Radičevića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70.000,00 eura</w:t>
      </w:r>
    </w:p>
    <w:p w14:paraId="66672D92"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Parking – Glavna – centar</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4.000,00 eura</w:t>
      </w:r>
    </w:p>
    <w:p w14:paraId="1F4C288D"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Parking – Glavna – etno kuća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63.000,00 eura</w:t>
      </w:r>
    </w:p>
    <w:p w14:paraId="47BC70B4"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Spomenici</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40.000,00 eura</w:t>
      </w:r>
    </w:p>
    <w:p w14:paraId="233C8E2C"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p>
    <w:p w14:paraId="6526ED39"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Nabavka uredske opreme, namještaja, </w:t>
      </w:r>
    </w:p>
    <w:p w14:paraId="2167893D"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lastRenderedPageBreak/>
        <w:t>prijevoznih sredstava, strojeva i ostale opreme</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192.600,00 eura</w:t>
      </w:r>
    </w:p>
    <w:p w14:paraId="1C08A15C"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Uredski namještaj</w:t>
      </w:r>
      <w:r w:rsidRPr="00361602">
        <w:rPr>
          <w:rFonts w:ascii="Times New Roman" w:eastAsia="Calibri" w:hAnsi="Times New Roman" w:cs="Times New Roman"/>
          <w:sz w:val="22"/>
          <w:szCs w:val="22"/>
          <w:lang w:val="hr-HR" w:eastAsia="en-US"/>
        </w:rPr>
        <w:tab/>
        <w:t xml:space="preserve">              </w:t>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10.000,00 eura</w:t>
      </w:r>
    </w:p>
    <w:p w14:paraId="122302BE"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Računala i računalna oprema</w:t>
      </w:r>
      <w:r w:rsidRPr="00361602">
        <w:rPr>
          <w:rFonts w:ascii="Times New Roman" w:eastAsia="Calibri" w:hAnsi="Times New Roman" w:cs="Times New Roman"/>
          <w:sz w:val="22"/>
          <w:szCs w:val="22"/>
          <w:lang w:val="hr-HR" w:eastAsia="en-US"/>
        </w:rPr>
        <w:tab/>
        <w:t xml:space="preserve">      </w:t>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3.000,00 eura</w:t>
      </w:r>
    </w:p>
    <w:p w14:paraId="642CEEF7"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Klima uređaji - općina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sidRPr="00361602">
        <w:rPr>
          <w:rFonts w:ascii="Times New Roman" w:eastAsia="Calibri" w:hAnsi="Times New Roman" w:cs="Times New Roman"/>
          <w:sz w:val="22"/>
          <w:szCs w:val="22"/>
          <w:lang w:val="hr-HR" w:eastAsia="en-US"/>
        </w:rPr>
        <w:tab/>
        <w:t xml:space="preserve">                        2.000,00 eura</w:t>
      </w:r>
    </w:p>
    <w:p w14:paraId="2AD85F8F"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Klima uređaji – vrtić dvorana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10.000,00 eura</w:t>
      </w:r>
    </w:p>
    <w:p w14:paraId="49D6C505"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Klima uređaji – višenamjenska sala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10.000,00 eura</w:t>
      </w:r>
    </w:p>
    <w:p w14:paraId="4F512303"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Zaštitna cerada etno kuća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13.500,00 eura</w:t>
      </w:r>
    </w:p>
    <w:p w14:paraId="76B90DE4"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Kontejneri – igralište Savulja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15.000,00 eura</w:t>
      </w:r>
    </w:p>
    <w:p w14:paraId="3456E1EF"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Opremanje svlačionice NK Sloga</w:t>
      </w:r>
      <w:r w:rsidRPr="00361602">
        <w:rPr>
          <w:rFonts w:ascii="Times New Roman" w:eastAsia="Calibri" w:hAnsi="Times New Roman" w:cs="Times New Roman"/>
          <w:sz w:val="22"/>
          <w:szCs w:val="22"/>
          <w:lang w:val="hr-HR" w:eastAsia="en-US"/>
        </w:rPr>
        <w:tab/>
        <w:t xml:space="preserve">                      37.500,00 eura</w:t>
      </w:r>
    </w:p>
    <w:p w14:paraId="04265C47"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Računalni programi</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6.600,00 eura</w:t>
      </w:r>
    </w:p>
    <w:p w14:paraId="4EAECA16"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Službeni automobil</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30.000,00 eura</w:t>
      </w:r>
    </w:p>
    <w:p w14:paraId="228B93F9"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Opremanje teretane NK Sloga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55.000,00 eura</w:t>
      </w:r>
    </w:p>
    <w:p w14:paraId="5FB87319" w14:textId="77777777" w:rsidR="004B3A69" w:rsidRPr="00361602" w:rsidRDefault="004B3A69" w:rsidP="004B3A69">
      <w:pPr>
        <w:spacing w:line="276" w:lineRule="auto"/>
        <w:rPr>
          <w:rFonts w:ascii="Times New Roman" w:eastAsia="Calibri" w:hAnsi="Times New Roman" w:cs="Times New Roman"/>
          <w:color w:val="FF0000"/>
          <w:sz w:val="22"/>
          <w:szCs w:val="22"/>
          <w:lang w:val="hr-HR" w:eastAsia="en-US"/>
        </w:rPr>
      </w:pPr>
    </w:p>
    <w:p w14:paraId="42247666"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Dodatna ulaganja na građevinskim objektima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1.698.600,00 eura</w:t>
      </w:r>
    </w:p>
    <w:p w14:paraId="0BDF0B9D"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Sanacija zgrade Općine</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186.000,00 eura</w:t>
      </w:r>
    </w:p>
    <w:p w14:paraId="06CD3060"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 xml:space="preserve">Dječji vrtić – sanacija dvorišta       </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5.000,00 eura</w:t>
      </w:r>
    </w:p>
    <w:p w14:paraId="08C5780B"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 xml:space="preserve">Igralište – Savulja </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30.000,00 eura</w:t>
      </w:r>
    </w:p>
    <w:p w14:paraId="1A9AF512"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Igralište – Bulićeva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20.000,00 eura</w:t>
      </w:r>
      <w:r w:rsidRPr="00361602">
        <w:rPr>
          <w:rFonts w:ascii="Times New Roman" w:eastAsia="Calibri" w:hAnsi="Times New Roman" w:cs="Times New Roman"/>
          <w:sz w:val="22"/>
          <w:szCs w:val="22"/>
          <w:lang w:val="hr-HR" w:eastAsia="en-US"/>
        </w:rPr>
        <w:tab/>
      </w:r>
    </w:p>
    <w:p w14:paraId="45B87A6C"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Sanacija javne rasvjete – Veselina Stojakovića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40.000,00 eura</w:t>
      </w:r>
    </w:p>
    <w:p w14:paraId="513D54A1"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Sanacija javne rasvjete – produžetak ulice uz prugu</w:t>
      </w:r>
      <w:r w:rsidRPr="00361602">
        <w:rPr>
          <w:rFonts w:ascii="Times New Roman" w:eastAsia="Calibri" w:hAnsi="Times New Roman" w:cs="Times New Roman"/>
          <w:sz w:val="22"/>
          <w:szCs w:val="22"/>
          <w:lang w:val="hr-HR" w:eastAsia="en-US"/>
        </w:rPr>
        <w:tab/>
        <w:t xml:space="preserve">    30.000,00 eura</w:t>
      </w:r>
    </w:p>
    <w:p w14:paraId="38E484B2"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 xml:space="preserve">Uređenje šetališne zone–idejno rješ. i proj.dokum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 xml:space="preserve"> 266.000,00 eura</w:t>
      </w:r>
    </w:p>
    <w:p w14:paraId="31C38332"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 xml:space="preserve">Sanacija javne rasvjete – Glavna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 xml:space="preserve"> 72.000,00 eura</w:t>
      </w:r>
    </w:p>
    <w:p w14:paraId="348CE989"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Sanacija javne rasvjete – Školska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30.000,00 eura</w:t>
      </w:r>
    </w:p>
    <w:p w14:paraId="1CE7F47A"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Sanacija javne rasvjete – Ozrenska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18.000,00 eura</w:t>
      </w:r>
    </w:p>
    <w:p w14:paraId="099ABFA5"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Sanacija staza – Gajićeva I dio</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40.000,00 eura</w:t>
      </w:r>
    </w:p>
    <w:p w14:paraId="10B6CFD2"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 xml:space="preserve">Sanacija staza – Bulićeva I dio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40.000,00 eura</w:t>
      </w:r>
    </w:p>
    <w:p w14:paraId="504F6B94"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Etno kuća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81.500,00 eura</w:t>
      </w:r>
      <w:r w:rsidRPr="00361602">
        <w:rPr>
          <w:rFonts w:ascii="Times New Roman" w:eastAsia="Calibri" w:hAnsi="Times New Roman" w:cs="Times New Roman"/>
          <w:sz w:val="22"/>
          <w:szCs w:val="22"/>
          <w:lang w:val="hr-HR" w:eastAsia="en-US"/>
        </w:rPr>
        <w:tab/>
      </w:r>
    </w:p>
    <w:p w14:paraId="11DEE0C3"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Višenamjenska sala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20.000,00 eura</w:t>
      </w:r>
    </w:p>
    <w:p w14:paraId="2E616412"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Sanacija ceste – Ratarska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20.000,00 eura</w:t>
      </w:r>
    </w:p>
    <w:p w14:paraId="6948C819"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Sanacija ceste – Božidara Maslarića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150.000,00 eura</w:t>
      </w:r>
    </w:p>
    <w:p w14:paraId="283164D0"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Sanacija ceste – Đorđa Sremca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100.000,00 eura</w:t>
      </w:r>
    </w:p>
    <w:p w14:paraId="09F55176"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 xml:space="preserve">Sanacija ceste – raskrižje Trg palih boraca – Školska </w:t>
      </w:r>
      <w:r w:rsidRPr="00361602">
        <w:rPr>
          <w:rFonts w:ascii="Times New Roman" w:eastAsia="Calibri" w:hAnsi="Times New Roman" w:cs="Times New Roman"/>
          <w:sz w:val="22"/>
          <w:szCs w:val="22"/>
          <w:lang w:val="hr-HR" w:eastAsia="en-US"/>
        </w:rPr>
        <w:tab/>
        <w:t xml:space="preserve">  130.000,00 eura</w:t>
      </w:r>
    </w:p>
    <w:p w14:paraId="2342E3CD"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Igralište – Gajićeva – cikloodmorište i uređenje</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95.100,00 eura</w:t>
      </w:r>
    </w:p>
    <w:p w14:paraId="5829F155"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Sanacija staza – Partizanska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40.000,00 eura</w:t>
      </w:r>
    </w:p>
    <w:p w14:paraId="5C1C3D1E"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Sanacija staza – Školska ulica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67.000,00 eura</w:t>
      </w:r>
    </w:p>
    <w:p w14:paraId="42618FAD"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Zgrada i nogometno igralište NK Sloga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178.000,00 eura</w:t>
      </w:r>
    </w:p>
    <w:p w14:paraId="33D1A947"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Kulturni centar</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40.000,00 eura</w:t>
      </w:r>
    </w:p>
    <w:p w14:paraId="0D57E2EF" w14:textId="77777777" w:rsidR="004B3A69" w:rsidRPr="00361602" w:rsidRDefault="004B3A69" w:rsidP="004B3A69">
      <w:pPr>
        <w:spacing w:line="276" w:lineRule="auto"/>
        <w:rPr>
          <w:rFonts w:ascii="Times New Roman" w:eastAsia="Calibri" w:hAnsi="Times New Roman" w:cs="Times New Roman"/>
          <w:color w:val="FF0000"/>
          <w:sz w:val="22"/>
          <w:szCs w:val="22"/>
          <w:lang w:val="hr-HR" w:eastAsia="en-US"/>
        </w:rPr>
      </w:pPr>
    </w:p>
    <w:p w14:paraId="7FA9B201"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Tekuće i investicijsko održavanje građevinskih objekata</w:t>
      </w:r>
      <w:r w:rsidRPr="00361602">
        <w:rPr>
          <w:rFonts w:ascii="Times New Roman" w:eastAsia="Calibri" w:hAnsi="Times New Roman" w:cs="Times New Roman"/>
          <w:sz w:val="22"/>
          <w:szCs w:val="22"/>
          <w:lang w:val="hr-HR" w:eastAsia="en-US"/>
        </w:rPr>
        <w:tab/>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75.000,00 eura</w:t>
      </w:r>
    </w:p>
    <w:p w14:paraId="2C1EBFA2"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 xml:space="preserve"> kapija zgrada Općine                            </w:t>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10.000,00 eura</w:t>
      </w:r>
    </w:p>
    <w:p w14:paraId="32AA79A7"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kapija NK Sloga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40.000,00 eura</w:t>
      </w:r>
    </w:p>
    <w:p w14:paraId="5109C04D" w14:textId="77777777" w:rsidR="004B3A69" w:rsidRPr="00361602" w:rsidRDefault="004B3A69" w:rsidP="004B3A69">
      <w:pPr>
        <w:spacing w:line="276" w:lineRule="auto"/>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spomen soba – NK Sloga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25.000,00 eura</w:t>
      </w:r>
    </w:p>
    <w:p w14:paraId="7E23327F" w14:textId="77777777" w:rsidR="004B3A69" w:rsidRPr="00361602" w:rsidRDefault="004B3A69" w:rsidP="004B3A69">
      <w:pPr>
        <w:spacing w:line="276" w:lineRule="auto"/>
        <w:rPr>
          <w:rFonts w:ascii="Times New Roman" w:eastAsia="Calibri" w:hAnsi="Times New Roman" w:cs="Times New Roman"/>
          <w:color w:val="FF0000"/>
          <w:sz w:val="22"/>
          <w:szCs w:val="22"/>
          <w:lang w:val="hr-HR" w:eastAsia="en-US"/>
        </w:rPr>
      </w:pPr>
    </w:p>
    <w:p w14:paraId="27551AE3"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Opći cilj: unapređenje kvalitete živote na području Općine Borovo ulaganjem u izgradnju nove komunalne infrastrukture kao i dodatnim ulaganjima na postojeće građevinske objekte. Postojanje aktualnih informacija o prostoru općine, kako bi se stvorili temelji za kvalitetno planiranje uređenja mjesta.</w:t>
      </w:r>
    </w:p>
    <w:p w14:paraId="06F54DE9"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lastRenderedPageBreak/>
        <w:t>Posebni cilj: izgradnja nove komunalne infrastrukture pomoću koje se stvaraju novi poboljšani uvjeti za kvalitetniji život mještana.</w:t>
      </w:r>
    </w:p>
    <w:p w14:paraId="0BBA9626"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Pokazatelji uspješnosti: dužina saniranih cesta i staza, broj novo postavljenih rasvjetnih tijela, uređena dječja igralište.</w:t>
      </w:r>
    </w:p>
    <w:p w14:paraId="101EF39E"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0E74B6A3"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PROGRAM: 1009 Zaželi faza IV</w:t>
      </w:r>
    </w:p>
    <w:p w14:paraId="2E8F5492"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Planiran je u iznosu 547.500,00 EUR, a sadrži slijedeće aktivnosti:</w:t>
      </w:r>
    </w:p>
    <w:p w14:paraId="4BAC3836"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28F53AEC"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A100901 Administrativno, tehničko i stručno osoblje, planirana u iznosu 547.500,00 EUR.</w:t>
      </w:r>
    </w:p>
    <w:p w14:paraId="62E23843"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Plaće za redovan rad</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450.000,00 eura</w:t>
      </w:r>
    </w:p>
    <w:p w14:paraId="1B955BF3"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Doprinos za zdravstveno osiguranje</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84.500,00 eura</w:t>
      </w:r>
    </w:p>
    <w:p w14:paraId="4BF54B8C"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Materijal i sredstva za čišćenje i održ.-higijena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13.000,00 eura</w:t>
      </w:r>
    </w:p>
    <w:p w14:paraId="1C6024A2"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2F6A2E79"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Opći cilj: zapošljavanje 32 radnika, pomoć starima i nemoćnima.</w:t>
      </w:r>
    </w:p>
    <w:p w14:paraId="1785A6B6"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Pokazatelji uspješnosti: zapošljavanje žena na poslovima pružanja potpore i pomoći starim i nemoćnim osobama kao i poboljšanje kvalitete života krajnjih korisnika tj. osoba u starijoj životnoj dobi pružajući im podršku u svakodnevnom životu.</w:t>
      </w:r>
    </w:p>
    <w:p w14:paraId="7D5943EB"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648F8A3A"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PROGRAM: 1010 Projekt: Dunav je naše more</w:t>
      </w:r>
    </w:p>
    <w:p w14:paraId="71B6B6A6"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Planiran je u iznosu 106.500,00 EUR, a sadrži slijedeće aktivnosti:</w:t>
      </w:r>
    </w:p>
    <w:p w14:paraId="0989E782"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A101001 Administrativni, tehničko i stručno osoblje, planirana u iznosu 106.500,00 EUR.</w:t>
      </w:r>
    </w:p>
    <w:p w14:paraId="0A831A9B"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Namirnice</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2.400,00 eura</w:t>
      </w:r>
    </w:p>
    <w:p w14:paraId="62A05E82"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Sitan inventar</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14.900,00 eura</w:t>
      </w:r>
    </w:p>
    <w:p w14:paraId="3D5695E4"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Elektronski mediji</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3.200,00 eura</w:t>
      </w:r>
    </w:p>
    <w:p w14:paraId="3DC11E8D"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Promidžbeni materijal</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1.200,00 eura</w:t>
      </w:r>
    </w:p>
    <w:p w14:paraId="34BDCF14"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Zakupnine i najamnine</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w:t>
      </w:r>
      <w:r w:rsidRPr="00361602">
        <w:rPr>
          <w:rFonts w:ascii="Times New Roman" w:eastAsia="Calibri" w:hAnsi="Times New Roman" w:cs="Times New Roman"/>
          <w:sz w:val="22"/>
          <w:szCs w:val="22"/>
          <w:lang w:val="hr-HR" w:eastAsia="en-US"/>
        </w:rPr>
        <w:tab/>
        <w:t xml:space="preserve">                4.400,00 eura</w:t>
      </w:r>
    </w:p>
    <w:p w14:paraId="70BE1385"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Autorski honorari</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10.000,00 eura</w:t>
      </w:r>
    </w:p>
    <w:p w14:paraId="46FFCCAD"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Ugovor o djelu</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600,00 eura</w:t>
      </w:r>
    </w:p>
    <w:p w14:paraId="5E5BF052"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Računala i računalna oprema</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1.200,00 eura</w:t>
      </w:r>
    </w:p>
    <w:p w14:paraId="081F7413"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w:t>
      </w:r>
      <w:r w:rsidRPr="00361602">
        <w:rPr>
          <w:rFonts w:ascii="Times New Roman" w:eastAsia="Calibri" w:hAnsi="Times New Roman" w:cs="Times New Roman"/>
          <w:sz w:val="22"/>
          <w:szCs w:val="22"/>
          <w:lang w:val="hr-HR" w:eastAsia="en-US"/>
        </w:rPr>
        <w:tab/>
        <w:t>Oprema za ostale namjene</w:t>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r>
      <w:r w:rsidRPr="00361602">
        <w:rPr>
          <w:rFonts w:ascii="Times New Roman" w:eastAsia="Calibri" w:hAnsi="Times New Roman" w:cs="Times New Roman"/>
          <w:sz w:val="22"/>
          <w:szCs w:val="22"/>
          <w:lang w:val="hr-HR" w:eastAsia="en-US"/>
        </w:rPr>
        <w:tab/>
        <w:t xml:space="preserve">              68.600,00 eura</w:t>
      </w:r>
    </w:p>
    <w:p w14:paraId="39B4C12A"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66632DF0"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Opći cilj: Projekt je usmjeren promociji ribarstva i akvakulture na području Općine Borovo. Cilj projekta je osnaživanje ribarstvene zajednice na području Općine Borovo. </w:t>
      </w:r>
    </w:p>
    <w:p w14:paraId="05E64D8C"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Posebni cilj: Projekt će se provoditi u partnerstvu sastavljenom od Općine Borovo, Dječjeg vrtića ZLATOKOSA Borovo i Sportskog ribolovnog društva SLOGA Borovo. Općina Borovo će, kao Nositelj projekta, biti zadužena za provedbu postupaka javne i jednostavne nabave za potrebe projektnih aktivnosti, organizaciju i koordinaciju provedbe projektnih aktivnosti u suradnji s projektnim partnerima, izvještavanje o provedbi projekta, financiranje troškova projekta, informiranje javnosti o provedbi projekta. Projektni partneri će sudjelovati u projektnim aktivnostima koje su vezane uz njihov djelokrug. </w:t>
      </w:r>
    </w:p>
    <w:p w14:paraId="6F39A2E9"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Pokazatelji uspješnosti: Projekt će rezultirati nabavljenom opremom i uslugama kojima će se na području Općine Borovo stvoriti uvjeti za razvoj ribarstva i akvakulture kroz razvoj turističke ponude, stvaranje navika konzumiranja ribe te osnaživanje kapaciteta lokalnih dionika u ribarstvu. U okviru projekta organizirati će se akcije čišćenja obale Dunava za koje će se nabaviti potrebna oprema te nabava spremnika za prikupljanje i privremeno skladištenje otpada. Za djecu koja pohađaju Dječji vrtić Zlatokosa će se osigurati priprema tjednog obroka od ribe tijekom 6 mjeseci trajanja provedbe projekta </w:t>
      </w:r>
      <w:r w:rsidRPr="00361602">
        <w:rPr>
          <w:rFonts w:ascii="Times New Roman" w:eastAsia="Calibri" w:hAnsi="Times New Roman" w:cs="Times New Roman"/>
          <w:sz w:val="22"/>
          <w:szCs w:val="22"/>
          <w:lang w:val="hr-HR" w:eastAsia="en-US"/>
        </w:rPr>
        <w:lastRenderedPageBreak/>
        <w:t>te će se nabaviti didaktička oprema tematski vezana uz ribarstvo. Za potrebe organizacije Borovske fišijade nabaviti će se novi šator, stolovi i klupe te angažirati umjetnik za nastup na manifestaciji. Za potrebe poticanja razvoja turizma izraditi će se i postaviti 3 table koje će služiti pružanju turističkih informacija o Borovu, dijelu toka Dunava koji prolazi kroz Borovo, biljnom i životinjskom svijetu na obali Dunava, kao i u samoj rijeci, te lokacijama za pecanje. Kako bi se osnažili kapaciteti Sportskog ribolovnog društva Sloga Borovo nabaviti će se IKT oprema te organizirati edukativna radionica za lokalne dionike u ribarstvu. Javnost će se o projektu informirati putem promotivnih materijala te putem medijske kampanje koja će se provoditi putem lokalne radijske postaje Radio Borovo.</w:t>
      </w:r>
    </w:p>
    <w:p w14:paraId="112BC78C"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579305EC"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PROGRAM: 1011 Redovna djelatnost Dječjeg vrtića</w:t>
      </w:r>
    </w:p>
    <w:p w14:paraId="3E571430"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Planiran je u iznosu 339.000,00 EUR, a sadrži slijedeće aktivnosti:</w:t>
      </w:r>
    </w:p>
    <w:p w14:paraId="2DAE4D08"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A101101 Rashodi za zaposlene, planirana u iznosu 330.000,00 EUR.</w:t>
      </w:r>
    </w:p>
    <w:p w14:paraId="12CDEC59"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A101102 Materijalni rashodi, planirana u iznosu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9.000,00 EUR.</w:t>
      </w:r>
    </w:p>
    <w:p w14:paraId="00F0CDE7"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3117D9E8"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Opći cilj: osiguranje dostupnosti usluga dječjeg vrtića i programa predškole svim zainteresiranim mještanima.</w:t>
      </w:r>
    </w:p>
    <w:p w14:paraId="7B0F5B97"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Pokazatelj uspješnosti: broj djece predškolskog uzrasta.</w:t>
      </w:r>
    </w:p>
    <w:p w14:paraId="1739B20C"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1B702DBC"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PROGRAM: 1012 Predškolski odgoj i obrazovanje</w:t>
      </w:r>
    </w:p>
    <w:p w14:paraId="399741B1"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Planiran je u iznosu 110.800,00 EUR, a sadrži slijedeće aktivnosti:</w:t>
      </w:r>
    </w:p>
    <w:p w14:paraId="7ABFE635"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A101201 Rashodi za zaposlene, planirana u iznosu 20.800,00 EUR.</w:t>
      </w:r>
    </w:p>
    <w:p w14:paraId="2EEF8753"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A101202 Materijalni rashodi, planirana u iznosu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82.500,00 EUR.</w:t>
      </w:r>
    </w:p>
    <w:p w14:paraId="36274F99"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A101203 Nabavka opreme, planirana u iznosu </w:t>
      </w:r>
      <w:r>
        <w:rPr>
          <w:rFonts w:ascii="Times New Roman" w:eastAsia="Calibri" w:hAnsi="Times New Roman" w:cs="Times New Roman"/>
          <w:sz w:val="22"/>
          <w:szCs w:val="22"/>
          <w:lang w:val="hr-HR" w:eastAsia="en-US"/>
        </w:rPr>
        <w:t xml:space="preserve">          </w:t>
      </w:r>
      <w:r w:rsidRPr="00361602">
        <w:rPr>
          <w:rFonts w:ascii="Times New Roman" w:eastAsia="Calibri" w:hAnsi="Times New Roman" w:cs="Times New Roman"/>
          <w:sz w:val="22"/>
          <w:szCs w:val="22"/>
          <w:lang w:val="hr-HR" w:eastAsia="en-US"/>
        </w:rPr>
        <w:t>7.500,00 EUR.</w:t>
      </w:r>
    </w:p>
    <w:p w14:paraId="1D256F42"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402A062D"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Opći cilj : Proračunski korisnik Dječji vrtić „Zlatokosa“ provodi redoviti program predškolskog odgoja od navršene prve godine života djeteta do polaska u osnovnu školu za 90-ak djece, koja se raspoređena u 4 odgojne grupe.</w:t>
      </w:r>
    </w:p>
    <w:p w14:paraId="273BC5F7"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Pokazatelji uspješnosti : Broj polaznika i broj odgojnih grupa, broj aktivnosti koje se provode u okviru redovne djelatnosti Dječjeg vrtića „Zlatokosa“, broj roditelja zadovoljnih načinom na koji se u Dječjem vrtiću vodi briga o naobrazbi, zdravlju, prehrani, tjelesnim i intelektualnim aktivnostima djece.</w:t>
      </w:r>
    </w:p>
    <w:p w14:paraId="3B26517F"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p>
    <w:p w14:paraId="48115AE4"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PROGRAM: 1013 Redovna djelatnost Vijeća srpske nacionalne manjine</w:t>
      </w:r>
    </w:p>
    <w:p w14:paraId="5CD8A9EE"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Planiran je u iznosu 9.000,00 EUR, a sadrži slijedeće aktivnosti:</w:t>
      </w:r>
    </w:p>
    <w:p w14:paraId="7EFBE5C6"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 xml:space="preserve">   ●  AKTIVNOST A101301 Materijalni rashodi, planirana u iznosu 9.000,00 EUR.</w:t>
      </w:r>
    </w:p>
    <w:p w14:paraId="20AAE6BA"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Opći cilj : Vijeće srpske nacionalne manjine u Općini Borovo osigurava učešće pripadnika nacionalnih manjina u javnom životu i zastupa interese nacionalnih manjina. Cilj im je unapređivanje, očuvanje i zaštita položaja srpske nacionalne manjine u društvu.</w:t>
      </w:r>
    </w:p>
    <w:p w14:paraId="5762228B" w14:textId="77777777" w:rsidR="004B3A69" w:rsidRPr="00361602" w:rsidRDefault="004B3A69" w:rsidP="004B3A69">
      <w:pPr>
        <w:spacing w:line="276" w:lineRule="auto"/>
        <w:jc w:val="both"/>
        <w:rPr>
          <w:rFonts w:ascii="Times New Roman" w:eastAsia="Calibri" w:hAnsi="Times New Roman" w:cs="Times New Roman"/>
          <w:sz w:val="22"/>
          <w:szCs w:val="22"/>
          <w:lang w:val="hr-HR" w:eastAsia="en-US"/>
        </w:rPr>
      </w:pPr>
      <w:r w:rsidRPr="00361602">
        <w:rPr>
          <w:rFonts w:ascii="Times New Roman" w:eastAsia="Calibri" w:hAnsi="Times New Roman" w:cs="Times New Roman"/>
          <w:sz w:val="22"/>
          <w:szCs w:val="22"/>
          <w:lang w:val="hr-HR" w:eastAsia="en-US"/>
        </w:rPr>
        <w:t>Pokazatelji uspješnosti : Vijeće srpske nacionalne manjine u Općini Borovo svoju ulogu obavlja u skladu sa propisima Republike Hrvatske, te nastoji razvijati svoj status prema mogućnostima i dozvoljavajućim okolnostima.</w:t>
      </w:r>
    </w:p>
    <w:p w14:paraId="6AD41871" w14:textId="77777777" w:rsidR="004B3A69" w:rsidRPr="00361602" w:rsidRDefault="004B3A69" w:rsidP="004B3A69">
      <w:pPr>
        <w:spacing w:line="276" w:lineRule="auto"/>
        <w:rPr>
          <w:rFonts w:ascii="Times New Roman" w:eastAsia="Calibri" w:hAnsi="Times New Roman" w:cs="Times New Roman"/>
          <w:color w:val="FF0000"/>
          <w:sz w:val="22"/>
          <w:szCs w:val="22"/>
          <w:lang w:val="hr-HR" w:eastAsia="en-US"/>
        </w:rPr>
      </w:pPr>
    </w:p>
    <w:p w14:paraId="46E69EEC" w14:textId="77777777" w:rsidR="00650DAE" w:rsidRPr="004B3A69" w:rsidRDefault="00650DAE" w:rsidP="004B3A69">
      <w:pPr>
        <w:rPr>
          <w:lang w:val="hr-HR"/>
        </w:rPr>
      </w:pPr>
    </w:p>
    <w:sectPr w:rsidR="00650DAE" w:rsidRPr="004B3A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D3C"/>
    <w:rsid w:val="0006410A"/>
    <w:rsid w:val="001813B4"/>
    <w:rsid w:val="001A1E30"/>
    <w:rsid w:val="004B3A69"/>
    <w:rsid w:val="004E28B2"/>
    <w:rsid w:val="00531010"/>
    <w:rsid w:val="00605D3C"/>
    <w:rsid w:val="00614A9F"/>
    <w:rsid w:val="0062518B"/>
    <w:rsid w:val="00650DAE"/>
    <w:rsid w:val="006D0939"/>
    <w:rsid w:val="00883DBB"/>
    <w:rsid w:val="008F466E"/>
    <w:rsid w:val="009C701B"/>
    <w:rsid w:val="00DC0FD6"/>
    <w:rsid w:val="00E040A7"/>
    <w:rsid w:val="00E13729"/>
    <w:rsid w:val="00FD082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B8B9F"/>
  <w15:chartTrackingRefBased/>
  <w15:docId w15:val="{982B438D-0FB3-4C0B-ADDE-EE683114F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D3C"/>
    <w:pPr>
      <w:spacing w:after="0" w:line="240" w:lineRule="auto"/>
    </w:pPr>
    <w:rPr>
      <w:rFonts w:ascii="Liberation Serif" w:eastAsia="Liberation Serif" w:hAnsi="Liberation Serif" w:cs="Liberation Serif"/>
      <w:kern w:val="0"/>
      <w:sz w:val="20"/>
      <w:szCs w:val="20"/>
      <w:lang w:val="en-AU" w:eastAsia="hr-HR"/>
      <w14:ligatures w14:val="none"/>
    </w:rPr>
  </w:style>
  <w:style w:type="paragraph" w:styleId="Naslov1">
    <w:name w:val="heading 1"/>
    <w:basedOn w:val="Normal"/>
    <w:next w:val="Normal"/>
    <w:link w:val="Naslov1Char"/>
    <w:uiPriority w:val="9"/>
    <w:qFormat/>
    <w:rsid w:val="00605D3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hr-HR" w:eastAsia="en-US"/>
      <w14:ligatures w14:val="standardContextual"/>
    </w:rPr>
  </w:style>
  <w:style w:type="paragraph" w:styleId="Naslov2">
    <w:name w:val="heading 2"/>
    <w:basedOn w:val="Normal"/>
    <w:next w:val="Normal"/>
    <w:link w:val="Naslov2Char"/>
    <w:uiPriority w:val="9"/>
    <w:semiHidden/>
    <w:unhideWhenUsed/>
    <w:qFormat/>
    <w:rsid w:val="00605D3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hr-HR" w:eastAsia="en-US"/>
      <w14:ligatures w14:val="standardContextual"/>
    </w:rPr>
  </w:style>
  <w:style w:type="paragraph" w:styleId="Naslov3">
    <w:name w:val="heading 3"/>
    <w:basedOn w:val="Normal"/>
    <w:next w:val="Normal"/>
    <w:link w:val="Naslov3Char"/>
    <w:uiPriority w:val="9"/>
    <w:semiHidden/>
    <w:unhideWhenUsed/>
    <w:qFormat/>
    <w:rsid w:val="00605D3C"/>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hr-HR" w:eastAsia="en-US"/>
      <w14:ligatures w14:val="standardContextual"/>
    </w:rPr>
  </w:style>
  <w:style w:type="paragraph" w:styleId="Naslov4">
    <w:name w:val="heading 4"/>
    <w:basedOn w:val="Normal"/>
    <w:next w:val="Normal"/>
    <w:link w:val="Naslov4Char"/>
    <w:uiPriority w:val="9"/>
    <w:semiHidden/>
    <w:unhideWhenUsed/>
    <w:qFormat/>
    <w:rsid w:val="00605D3C"/>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hr-HR" w:eastAsia="en-US"/>
      <w14:ligatures w14:val="standardContextual"/>
    </w:rPr>
  </w:style>
  <w:style w:type="paragraph" w:styleId="Naslov5">
    <w:name w:val="heading 5"/>
    <w:basedOn w:val="Normal"/>
    <w:next w:val="Normal"/>
    <w:link w:val="Naslov5Char"/>
    <w:uiPriority w:val="9"/>
    <w:semiHidden/>
    <w:unhideWhenUsed/>
    <w:qFormat/>
    <w:rsid w:val="00605D3C"/>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hr-HR" w:eastAsia="en-US"/>
      <w14:ligatures w14:val="standardContextual"/>
    </w:rPr>
  </w:style>
  <w:style w:type="paragraph" w:styleId="Naslov6">
    <w:name w:val="heading 6"/>
    <w:basedOn w:val="Normal"/>
    <w:next w:val="Normal"/>
    <w:link w:val="Naslov6Char"/>
    <w:uiPriority w:val="9"/>
    <w:semiHidden/>
    <w:unhideWhenUsed/>
    <w:qFormat/>
    <w:rsid w:val="00605D3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hr-HR" w:eastAsia="en-US"/>
      <w14:ligatures w14:val="standardContextual"/>
    </w:rPr>
  </w:style>
  <w:style w:type="paragraph" w:styleId="Naslov7">
    <w:name w:val="heading 7"/>
    <w:basedOn w:val="Normal"/>
    <w:next w:val="Normal"/>
    <w:link w:val="Naslov7Char"/>
    <w:uiPriority w:val="9"/>
    <w:semiHidden/>
    <w:unhideWhenUsed/>
    <w:qFormat/>
    <w:rsid w:val="00605D3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hr-HR" w:eastAsia="en-US"/>
      <w14:ligatures w14:val="standardContextual"/>
    </w:rPr>
  </w:style>
  <w:style w:type="paragraph" w:styleId="Naslov8">
    <w:name w:val="heading 8"/>
    <w:basedOn w:val="Normal"/>
    <w:next w:val="Normal"/>
    <w:link w:val="Naslov8Char"/>
    <w:uiPriority w:val="9"/>
    <w:semiHidden/>
    <w:unhideWhenUsed/>
    <w:qFormat/>
    <w:rsid w:val="00605D3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hr-HR" w:eastAsia="en-US"/>
      <w14:ligatures w14:val="standardContextual"/>
    </w:rPr>
  </w:style>
  <w:style w:type="paragraph" w:styleId="Naslov9">
    <w:name w:val="heading 9"/>
    <w:basedOn w:val="Normal"/>
    <w:next w:val="Normal"/>
    <w:link w:val="Naslov9Char"/>
    <w:uiPriority w:val="9"/>
    <w:semiHidden/>
    <w:unhideWhenUsed/>
    <w:qFormat/>
    <w:rsid w:val="00605D3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hr-HR" w:eastAsia="en-US"/>
      <w14:ligatures w14:val="standardContextual"/>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605D3C"/>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605D3C"/>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605D3C"/>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605D3C"/>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605D3C"/>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605D3C"/>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605D3C"/>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605D3C"/>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605D3C"/>
    <w:rPr>
      <w:rFonts w:eastAsiaTheme="majorEastAsia" w:cstheme="majorBidi"/>
      <w:color w:val="272727" w:themeColor="text1" w:themeTint="D8"/>
    </w:rPr>
  </w:style>
  <w:style w:type="paragraph" w:styleId="Naslov">
    <w:name w:val="Title"/>
    <w:basedOn w:val="Normal"/>
    <w:next w:val="Normal"/>
    <w:link w:val="NaslovChar"/>
    <w:uiPriority w:val="10"/>
    <w:qFormat/>
    <w:rsid w:val="00605D3C"/>
    <w:pPr>
      <w:spacing w:after="80"/>
      <w:contextualSpacing/>
    </w:pPr>
    <w:rPr>
      <w:rFonts w:asciiTheme="majorHAnsi" w:eastAsiaTheme="majorEastAsia" w:hAnsiTheme="majorHAnsi" w:cstheme="majorBidi"/>
      <w:spacing w:val="-10"/>
      <w:kern w:val="28"/>
      <w:sz w:val="56"/>
      <w:szCs w:val="56"/>
      <w:lang w:val="hr-HR" w:eastAsia="en-US"/>
      <w14:ligatures w14:val="standardContextual"/>
    </w:rPr>
  </w:style>
  <w:style w:type="character" w:customStyle="1" w:styleId="NaslovChar">
    <w:name w:val="Naslov Char"/>
    <w:basedOn w:val="Zadanifontodlomka"/>
    <w:link w:val="Naslov"/>
    <w:uiPriority w:val="10"/>
    <w:rsid w:val="00605D3C"/>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605D3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hr-HR" w:eastAsia="en-US"/>
      <w14:ligatures w14:val="standardContextual"/>
    </w:rPr>
  </w:style>
  <w:style w:type="character" w:customStyle="1" w:styleId="PodnaslovChar">
    <w:name w:val="Podnaslov Char"/>
    <w:basedOn w:val="Zadanifontodlomka"/>
    <w:link w:val="Podnaslov"/>
    <w:uiPriority w:val="11"/>
    <w:rsid w:val="00605D3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605D3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hr-HR" w:eastAsia="en-US"/>
      <w14:ligatures w14:val="standardContextual"/>
    </w:rPr>
  </w:style>
  <w:style w:type="character" w:customStyle="1" w:styleId="CitatChar">
    <w:name w:val="Citat Char"/>
    <w:basedOn w:val="Zadanifontodlomka"/>
    <w:link w:val="Citat"/>
    <w:uiPriority w:val="29"/>
    <w:rsid w:val="00605D3C"/>
    <w:rPr>
      <w:i/>
      <w:iCs/>
      <w:color w:val="404040" w:themeColor="text1" w:themeTint="BF"/>
    </w:rPr>
  </w:style>
  <w:style w:type="paragraph" w:styleId="Odlomakpopisa">
    <w:name w:val="List Paragraph"/>
    <w:basedOn w:val="Normal"/>
    <w:uiPriority w:val="34"/>
    <w:qFormat/>
    <w:rsid w:val="00605D3C"/>
    <w:pPr>
      <w:spacing w:after="160" w:line="278" w:lineRule="auto"/>
      <w:ind w:left="720"/>
      <w:contextualSpacing/>
    </w:pPr>
    <w:rPr>
      <w:rFonts w:asciiTheme="minorHAnsi" w:eastAsiaTheme="minorHAnsi" w:hAnsiTheme="minorHAnsi" w:cstheme="minorBidi"/>
      <w:kern w:val="2"/>
      <w:sz w:val="24"/>
      <w:szCs w:val="24"/>
      <w:lang w:val="hr-HR" w:eastAsia="en-US"/>
      <w14:ligatures w14:val="standardContextual"/>
    </w:rPr>
  </w:style>
  <w:style w:type="character" w:styleId="Jakoisticanje">
    <w:name w:val="Intense Emphasis"/>
    <w:basedOn w:val="Zadanifontodlomka"/>
    <w:uiPriority w:val="21"/>
    <w:qFormat/>
    <w:rsid w:val="00605D3C"/>
    <w:rPr>
      <w:i/>
      <w:iCs/>
      <w:color w:val="2F5496" w:themeColor="accent1" w:themeShade="BF"/>
    </w:rPr>
  </w:style>
  <w:style w:type="paragraph" w:styleId="Naglaencitat">
    <w:name w:val="Intense Quote"/>
    <w:basedOn w:val="Normal"/>
    <w:next w:val="Normal"/>
    <w:link w:val="NaglaencitatChar"/>
    <w:uiPriority w:val="30"/>
    <w:qFormat/>
    <w:rsid w:val="00605D3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hr-HR" w:eastAsia="en-US"/>
      <w14:ligatures w14:val="standardContextual"/>
    </w:rPr>
  </w:style>
  <w:style w:type="character" w:customStyle="1" w:styleId="NaglaencitatChar">
    <w:name w:val="Naglašen citat Char"/>
    <w:basedOn w:val="Zadanifontodlomka"/>
    <w:link w:val="Naglaencitat"/>
    <w:uiPriority w:val="30"/>
    <w:rsid w:val="00605D3C"/>
    <w:rPr>
      <w:i/>
      <w:iCs/>
      <w:color w:val="2F5496" w:themeColor="accent1" w:themeShade="BF"/>
    </w:rPr>
  </w:style>
  <w:style w:type="character" w:styleId="Istaknutareferenca">
    <w:name w:val="Intense Reference"/>
    <w:basedOn w:val="Zadanifontodlomka"/>
    <w:uiPriority w:val="32"/>
    <w:qFormat/>
    <w:rsid w:val="00605D3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4184</Words>
  <Characters>23850</Characters>
  <Application>Microsoft Office Word</Application>
  <DocSecurity>0</DocSecurity>
  <Lines>198</Lines>
  <Paragraphs>55</Paragraphs>
  <ScaleCrop>false</ScaleCrop>
  <Company/>
  <LinksUpToDate>false</LinksUpToDate>
  <CharactersWithSpaces>27979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 Borovo</dc:creator>
  <cp:keywords/>
  <dc:description/>
  <cp:lastModifiedBy>Opcina Borovo</cp:lastModifiedBy>
  <cp:revision>2</cp:revision>
  <dcterms:created xsi:type="dcterms:W3CDTF">2026-09-25T09:14:00Z</dcterms:created>
  <dcterms:modified xsi:type="dcterms:W3CDTF">2026-09-25T09:16:00Z</dcterms:modified>
</cp:coreProperties>
</file>