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87cbc08e98e4ad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36160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BOROVO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2.553.207,20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2.906.071,11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1.665.268,39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2.466.328,51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887.938,81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439.742,60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1.157.331,48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1.000.357,42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1.157.331,48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1.000.357,42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269.392,67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60.614,82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22,5</w:t>
            </w:r>
          </w:p>
        </w:tc>
      </w:tr>
    </w:tbl>
    <w:p>
      <w:pPr>
        <w:spacing w:before="0" w:after="0"/>
      </w:pPr>
    </w:p>
    <w:p>
      <w:r>
        <w:t xml:space="preserve">Sveukupno ostvareni prihodi poslovanja iznose 2.906.071,11 eura, dok ostvareni rashodi poslovanja iznose 2.466.328,51 eura pa samim tim višak prihoda poslovanja (šifra X001) iznosi 439.742,60 eura. Manjak prihoda od nefinancijske imovine (šifra Y002) iznosi 1.000.357,42 eura jer nisu ostvareni prihodi od nefinancijske imovine. Razlikom između Viška prihoda poslovanja (šifra X001) i Manjka prihoda od nefinancijske imovine (šifra Y002) ostvaren je MANJAK PRIHODA (šifra Y004) u iznosu od 560.614,82 eura. U izvještajnom razdoblju ostvaren je primitak od financijske imovine i zajmova u iznosu od 500.000,00 eura, čime je ostvaren Višak primitaka od financijske imovine i zaduživanja (šifra X003) u iznosu od 500.000,00 eura. Sveukupno ostvarenim manjkom prihoda i ostvarenim višakom primitaka na kraju izvještajnog razdoblja ostvaren je manjak prihoda i primitaka (šifra Y005) u iznosu od 60.614,82 eura.</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76.155,96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31.12.2025. godine dospjele obveze iznose 76.155,96 eura. Obveze u iznosu od 76.155,96 eura se odnose na obveze Općine Borovo i to na rashode za prijevoz, usluge interneta, rashode za komunalne usluge, ostale intelektualne usluge i rashode za nabavu dugotrajne nefinancijske imovine. Dospjele obveze podmirene su odmah po isteku izvještajnog razdoblja.  Razlog privremenog kašnjenja bio je vremenski nesklada između priljeva i odljeva sredstava kao i potrebe za usklađenjem određenih stavaka i utvrđivanje stvarnog stanja duga prije nego će obveze biti podmirene. </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Unutargrupne transakcije koje su u izvještajima eliminirane</w:t>
      </w:r>
    </w:p>
    <w:p>
      <w:r>
        <w:t xml:space="preserve">Prilikom sastavljanja konsolidiranog izvještaja eliminirani su prihodi iz proračuna za financiranje redovne djelatnosti DV "Zlatokosa" Borovo, koje je DV "Zlatokosa" Borovo iskazao pod Šifrom 67 i to u iznosu 280.530,08 eura. Eliminirani su i rashodi prijenosa proračunskom korisniku DV "Zlatokosa" Borovo za financiranje redovne djelatnosti iskazane pod Šifrom 367 također u iznosu od 280.530,08 eura. Iznos od 276.000,00 eura odnosi se na plaće zaposlenika DV "Zlatokosa" Borovo, 3.255,00 eura odnosi na nabavku peleta za grijanje, dok se iznos od 1.275,08 eura odnosi na nabavku lož ulja za grijanje.</w:t>
      </w:r>
    </w:p>
    <w:p/>
    <w:p>
      <w:pPr>
        <w:jc w:val="center"/>
        <w:pStyle w:val="Normal"/>
        <w:spacing w:line="240" w:lineRule="auto"/>
        <w:keepNext/>
      </w:pPr>
      <w:r>
        <w:rPr>
          <w:sz w:val="28"/>
          <w:rFonts w:ascii="Times New Roman" w:hAnsi="Times New Roman"/>
        </w:rPr>
        <w:t xml:space="preserve">Bilješka 4.</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Na kraju izvještajnog razdoblja Općina Borovo je ostvarila manjak prihoda i primitaka u iznosu od 191.276,72 eura dok je proračunski korisnik DV "Zlatokosa" Borovo također ostvario manjak prihoda i primitaka u iznosu od 1.662,82 eura, pa je time ostvaren ukupan manjak prihoda i primitaka u iznosu od 192.939,54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620beb8b30f42ea" /></Relationships>
</file>