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57856e1d3d846f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36160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BOROVO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2.469.755,90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2.840.163,41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1.595.572,72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2.377.715,73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874.183,18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462.447,68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1.157.331,48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995.769,12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1.157.331,48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995.769,12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283.148,30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33.321,44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w:t>
            </w:r>
          </w:p>
        </w:tc>
      </w:tr>
    </w:tbl>
    <w:p>
      <w:pPr>
        <w:spacing w:before="0" w:after="0"/>
      </w:pPr>
    </w:p>
    <w:p>
      <w:r>
        <w:t xml:space="preserve">Sveukupno ostvareni prihodi poslovanja iznose 2.840.163,41 eura, dok ostvareni rashodi poslovanja iznose 2.377.715,73 eura pa samim tim višak prihoda poslovanja (šifra X001) iznosi 462.447,68 eura. Manjak prihoda od nefinancijske imovine (šifra Y002) iznosi 995.769,12 eura jer nisu ostvareni prihodi od nefinancijske imovine. Razlikom između Viška prihoda poslovanja (šifra X001) i Manjka prihoda od nefinancijske imovine (šifra Y002) ostvaren je MANJAK PRIHODA (šifra Y004) u iznosu od 533.321,44 eura. U izvještajnom razdoblju ostvaren je primitak od financijske imovine i zajmova u iznosu od 500.000,00 eura. Ostvareni manjak prihoda i primitaka na kraju 2024. godine sa ostavrenim manjkom prihoda i primitaka na kraju 2025. godine u iznosu od 33.321,44 eura povećava manjak prihoda i primitaka za pokriće u sljedećem razdoblju na 191.276,72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260.628,12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559.151,58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w:t>
            </w:r>
          </w:p>
        </w:tc>
      </w:tr>
    </w:tbl>
    <w:p>
      <w:pPr>
        <w:spacing w:before="0" w:after="0"/>
      </w:pPr>
    </w:p>
    <w:p>
      <w:r>
        <w:t xml:space="preserve">Do povećanja rashoda za plaće dolazi zbog provedbe projekta Programa zapošljavanja žena – Zaželi faza IV koji je počeo sa realizacijom sredinom 2024. godine i trajao je tokom cijele 2025.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254.983,96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w:t>
            </w:r>
          </w:p>
        </w:tc>
      </w:tr>
    </w:tbl>
    <w:p>
      <w:pPr>
        <w:spacing w:before="0" w:after="0"/>
      </w:pPr>
    </w:p>
    <w:p>
      <w:r>
        <w:t xml:space="preserve">Rashodi komunalnih usluga su veći u odnosu na isto razdoblje prošle godine zbog povećanja cijena čišćenje i održavanja cesta i javnih površina.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Subvencija trgovačkom društvu za nabavku drobilice za građevinski otpad.</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76.155,96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godine obveze iznose 695.698,32 eura. Dospjele obveze su u iznosu od 54.198,25 eura se odnose na obveze Općine Borovo i to na rashode za energiju, računalne usluge, rashode za dezinsekciju, rashode za komunalne usluge, ostale intelektualne usluge i rashode za nabavu dugotrajne nefinancijske imovine. Dospjelih obveze podmirene su odmah po isteku izvještajnog razdoblja.  Razlog privremenog kašnjenja bio je vremenski nesklada između priljeva i odljeva sredstava kao i potrebe za usklađenjem određenih stavaka i utvrđivanje stvarnog stanja duga prije nego će obveze biti podmirene. Obveze u iznosu 500.000,00 eura odnose se na kratkoročno zaduživanje kod kreditne institucije čije je dospijeće  vraćanja 14.10.2026. godine.</w:t>
      </w:r>
    </w:p>
    <w:p/>
    <w:p>
      <w:pPr>
        <w:jc w:val="center"/>
        <w:pStyle w:val="Normal"/>
        <w:spacing w:line="240" w:lineRule="auto"/>
        <w:keepNext/>
      </w:pPr>
      <w:r>
        <w:rPr>
          <w:sz w:val="28"/>
          <w:rFonts w:ascii="Times New Roman" w:hAnsi="Times New Roman"/>
        </w:rPr>
        <w:t xml:space="preserve">Bilješka 6.</w:t>
      </w:r>
    </w:p>
    <w:p>
      <w:pPr>
        <w:jc w:val="both"/>
        <w:pStyle w:val="Normal"/>
        <w:spacing w:line="240" w:lineRule="auto"/>
      </w:pPr>
      <w:r>
        <w:rPr>
          <w:b/>
          <w:sz w:val="24"/>
          <w:rFonts w:ascii="Times New Roman" w:hAnsi="Times New Roman"/>
        </w:rPr>
        <w:t xml:space="preserve">EU izvještaj</w:t>
      </w:r>
    </w:p>
    <w:p>
      <w:r>
        <w:t xml:space="preserve">Ukupno ostvareni prihodi Tekućih pomoći iz državnog proračuna temeljem prijenosa EU sredstava za Projekat  Zaželi faza IV u izvještajnom razdoblju iznose 370.824,21 eura. Ostvareni rashodi za navedeni projekat iznose 486.691,25 eura od čega se iznos od 474.973,25 eura odnosi na plaće zaposlenika dok se iznos od 11.718,00 odnosi na materijalne rashode.</w:t>
      </w:r>
    </w:p>
    <w:p>
      <w:r>
        <w:t xml:space="preserve">Ukupno ostvareni prihodi Kapitalne pomoći iz državnog proračuna temeljem prijenosa EU sredstava za izgradnju dječjeg igrališta u Ozrenskoj ulici u Borovu iznose 27.871,79 eura. Ostvareni rashodi u iznosu od 37.503,65 eura odnose se na izgradnju dok se iznos od 770,00 eura odnosi na stručni nadzor.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2ad56ff7db74519" /></Relationships>
</file>